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CF" w:rsidRPr="008D58CF" w:rsidRDefault="008D58CF">
      <w:pPr>
        <w:rPr>
          <w:b/>
        </w:rPr>
      </w:pPr>
      <w:proofErr w:type="gramStart"/>
      <w:r w:rsidRPr="008D58CF">
        <w:rPr>
          <w:b/>
        </w:rPr>
        <w:t>Qualification data for the release of the 1M RF process 152P1G1012C at ADLK iPD line.</w:t>
      </w:r>
      <w:proofErr w:type="gramEnd"/>
      <w:r w:rsidRPr="008D58CF">
        <w:rPr>
          <w:b/>
        </w:rPr>
        <w:t xml:space="preserve"> </w:t>
      </w:r>
    </w:p>
    <w:tbl>
      <w:tblPr>
        <w:tblW w:w="10572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44"/>
        <w:gridCol w:w="3578"/>
        <w:gridCol w:w="1840"/>
        <w:gridCol w:w="1310"/>
      </w:tblGrid>
      <w:tr w:rsidR="008D58CF" w:rsidRPr="008F4649" w:rsidTr="00B9720F">
        <w:trPr>
          <w:trHeight w:val="286"/>
        </w:trPr>
        <w:tc>
          <w:tcPr>
            <w:tcW w:w="1057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</w:tcPr>
          <w:p w:rsidR="008D58CF" w:rsidRPr="008F4649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 xml:space="preserve">Qualification of the IPD 1M RF </w:t>
            </w:r>
            <w:r w:rsidRPr="0097584A"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>152P1G1012X</w:t>
            </w:r>
            <w:r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 xml:space="preserve"> Process at ADLK iPD</w:t>
            </w:r>
          </w:p>
        </w:tc>
      </w:tr>
      <w:tr w:rsidR="008D58CF" w:rsidRPr="008F4649" w:rsidTr="008D58CF">
        <w:trPr>
          <w:trHeight w:val="286"/>
        </w:trPr>
        <w:tc>
          <w:tcPr>
            <w:tcW w:w="3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D58CF" w:rsidRPr="008F4649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</w:pPr>
            <w:r w:rsidRPr="008F4649"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>Test</w:t>
            </w:r>
          </w:p>
        </w:tc>
        <w:tc>
          <w:tcPr>
            <w:tcW w:w="35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D58CF" w:rsidRPr="008F4649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</w:pPr>
            <w:r w:rsidRPr="008F4649"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>Conditions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8D58CF" w:rsidRPr="008F4649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>Sample Size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D58CF" w:rsidRPr="008F4649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</w:pPr>
            <w:r w:rsidRPr="008F4649">
              <w:rPr>
                <w:rFonts w:ascii="Arial" w:eastAsia="PMingLiU" w:hAnsi="Arial" w:cs="Tahoma"/>
                <w:smallCaps/>
                <w:color w:val="000000"/>
                <w:sz w:val="26"/>
                <w:szCs w:val="26"/>
              </w:rPr>
              <w:t>Results</w:t>
            </w:r>
          </w:p>
        </w:tc>
      </w:tr>
      <w:tr w:rsidR="008D58CF" w:rsidRPr="008F4649" w:rsidTr="008D58CF">
        <w:trPr>
          <w:trHeight w:val="972"/>
        </w:trPr>
        <w:tc>
          <w:tcPr>
            <w:tcW w:w="3844" w:type="dxa"/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  <w:vertAlign w:val="superscript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Early Life Failure (ELF)</w:t>
            </w:r>
          </w:p>
        </w:tc>
        <w:tc>
          <w:tcPr>
            <w:tcW w:w="3578" w:type="dxa"/>
            <w:vAlign w:val="center"/>
          </w:tcPr>
          <w:p w:rsidR="008D58CF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MIL-STD-883, Method 1015</w:t>
            </w:r>
          </w:p>
          <w:p w:rsidR="00B9720F" w:rsidRPr="004C6365" w:rsidRDefault="00B9720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>125C, Biased, 48 hrs</w:t>
            </w:r>
          </w:p>
        </w:tc>
        <w:tc>
          <w:tcPr>
            <w:tcW w:w="1840" w:type="dxa"/>
            <w:vAlign w:val="center"/>
          </w:tcPr>
          <w:p w:rsidR="008D58CF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4*667</w:t>
            </w:r>
          </w:p>
        </w:tc>
        <w:tc>
          <w:tcPr>
            <w:tcW w:w="1310" w:type="dxa"/>
            <w:vAlign w:val="center"/>
          </w:tcPr>
          <w:p w:rsidR="008D58CF" w:rsidRPr="008F4649" w:rsidRDefault="008D58CF" w:rsidP="00E65BB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Pass</w:t>
            </w:r>
          </w:p>
        </w:tc>
      </w:tr>
      <w:tr w:rsidR="008D58CF" w:rsidRPr="008F4649" w:rsidTr="00B9720F">
        <w:trPr>
          <w:trHeight w:val="924"/>
        </w:trPr>
        <w:tc>
          <w:tcPr>
            <w:tcW w:w="3844" w:type="dxa"/>
            <w:vAlign w:val="center"/>
          </w:tcPr>
          <w:p w:rsidR="008D58CF" w:rsidRPr="007A6B7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  <w:vertAlign w:val="superscript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High Temperature Operating Life (HTOL)*</w:t>
            </w:r>
          </w:p>
        </w:tc>
        <w:tc>
          <w:tcPr>
            <w:tcW w:w="3578" w:type="dxa"/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JESD22-A108,</w:t>
            </w:r>
          </w:p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125°C&lt;Tj&lt;135°C, Biased, 1,000 Hours</w:t>
            </w:r>
          </w:p>
        </w:tc>
        <w:tc>
          <w:tcPr>
            <w:tcW w:w="1840" w:type="dxa"/>
            <w:vAlign w:val="center"/>
          </w:tcPr>
          <w:p w:rsidR="008D58CF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3*77</w:t>
            </w:r>
          </w:p>
        </w:tc>
        <w:tc>
          <w:tcPr>
            <w:tcW w:w="1310" w:type="dxa"/>
            <w:vAlign w:val="center"/>
          </w:tcPr>
          <w:p w:rsidR="008D58CF" w:rsidRPr="008F4649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Pass</w:t>
            </w:r>
          </w:p>
        </w:tc>
      </w:tr>
      <w:tr w:rsidR="008D58CF" w:rsidRPr="008F4649" w:rsidTr="00B9720F">
        <w:trPr>
          <w:trHeight w:val="620"/>
        </w:trPr>
        <w:tc>
          <w:tcPr>
            <w:tcW w:w="3844" w:type="dxa"/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  <w:vertAlign w:val="superscript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High Temperature Storage Life</w:t>
            </w:r>
          </w:p>
        </w:tc>
        <w:tc>
          <w:tcPr>
            <w:tcW w:w="3578" w:type="dxa"/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JESD22-A103,</w:t>
            </w:r>
          </w:p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  <w:lang w:val="nl-NL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150°C, 1000hrs</w:t>
            </w:r>
          </w:p>
        </w:tc>
        <w:tc>
          <w:tcPr>
            <w:tcW w:w="1840" w:type="dxa"/>
            <w:vAlign w:val="center"/>
          </w:tcPr>
          <w:p w:rsidR="008D58CF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2*77</w:t>
            </w:r>
          </w:p>
        </w:tc>
        <w:tc>
          <w:tcPr>
            <w:tcW w:w="1310" w:type="dxa"/>
            <w:vAlign w:val="center"/>
          </w:tcPr>
          <w:p w:rsidR="008D58CF" w:rsidRPr="008F4649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Pass</w:t>
            </w:r>
          </w:p>
        </w:tc>
      </w:tr>
      <w:tr w:rsidR="008D58CF" w:rsidRPr="008F4649" w:rsidTr="00B9720F">
        <w:trPr>
          <w:trHeight w:val="630"/>
        </w:trPr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8D58CF" w:rsidRPr="008F4649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Temperature Cycle Testing (TCT)*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 xml:space="preserve">JESD22-A104, </w:t>
            </w:r>
          </w:p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i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-65/+150C, 500cycles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D58CF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>3*77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8D58CF" w:rsidRPr="00F4300E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>Pass</w:t>
            </w:r>
          </w:p>
        </w:tc>
      </w:tr>
      <w:tr w:rsidR="008D58CF" w:rsidRPr="008F4649" w:rsidTr="00B9720F">
        <w:trPr>
          <w:trHeight w:val="598"/>
        </w:trPr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8D58CF" w:rsidRPr="007A6B7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  <w:vertAlign w:val="superscript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Autoclave*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JESD22-A102</w:t>
            </w:r>
          </w:p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121C, 100%RH, 96 hours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D58CF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3*77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8D58CF" w:rsidRPr="00F4300E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Pass</w:t>
            </w:r>
          </w:p>
        </w:tc>
      </w:tr>
      <w:tr w:rsidR="008D58CF" w:rsidRPr="008F4649" w:rsidTr="00B9720F">
        <w:trPr>
          <w:trHeight w:val="650"/>
        </w:trPr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  <w:vertAlign w:val="superscript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Solder Heat Resistance (SHR)*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8D58CF" w:rsidRPr="004C6365" w:rsidRDefault="008D58C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 w:rsidRPr="004C6365">
              <w:rPr>
                <w:rFonts w:ascii="Arial" w:eastAsia="PMingLiU" w:hAnsi="Arial" w:cs="Arial"/>
                <w:sz w:val="20"/>
                <w:szCs w:val="20"/>
              </w:rPr>
              <w:t>ADI-0049</w:t>
            </w:r>
          </w:p>
          <w:p w:rsidR="008D58CF" w:rsidRPr="004C6365" w:rsidRDefault="00B9720F" w:rsidP="00B9720F">
            <w:pPr>
              <w:spacing w:after="0" w:line="240" w:lineRule="auto"/>
              <w:jc w:val="center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>MSL leve3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D58CF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3*11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8D58CF" w:rsidRPr="00CE516B" w:rsidRDefault="008D58CF" w:rsidP="008D58CF">
            <w:pPr>
              <w:spacing w:after="0" w:line="240" w:lineRule="auto"/>
              <w:jc w:val="center"/>
              <w:rPr>
                <w:rFonts w:ascii="Arial" w:eastAsia="PMingLiU" w:hAnsi="Arial" w:cs="Tahoma"/>
                <w:sz w:val="20"/>
                <w:szCs w:val="20"/>
              </w:rPr>
            </w:pPr>
            <w:r>
              <w:rPr>
                <w:rFonts w:ascii="Arial" w:eastAsia="PMingLiU" w:hAnsi="Arial" w:cs="Tahoma"/>
                <w:sz w:val="20"/>
                <w:szCs w:val="20"/>
              </w:rPr>
              <w:t>Pass</w:t>
            </w:r>
          </w:p>
        </w:tc>
      </w:tr>
    </w:tbl>
    <w:p w:rsidR="0097584A" w:rsidRDefault="00E65BBF" w:rsidP="0097584A">
      <w:r>
        <w:t>* Lots preconditioned to MSL</w:t>
      </w:r>
      <w:r w:rsidR="00194700">
        <w:t>3</w:t>
      </w:r>
      <w:r w:rsidR="0097584A">
        <w:t xml:space="preserve"> conditions</w:t>
      </w:r>
      <w:r w:rsidR="008D58CF">
        <w:t>*</w:t>
      </w:r>
      <w:r w:rsidR="0097584A">
        <w:br/>
      </w:r>
      <w:r w:rsidR="0097584A">
        <w:br/>
      </w:r>
    </w:p>
    <w:p w:rsidR="00B9720F" w:rsidRDefault="00B9720F"/>
    <w:sectPr w:rsidR="00B9720F" w:rsidSect="00D70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84A"/>
    <w:rsid w:val="000006F1"/>
    <w:rsid w:val="00040209"/>
    <w:rsid w:val="000832C6"/>
    <w:rsid w:val="00084EFA"/>
    <w:rsid w:val="000F7F3D"/>
    <w:rsid w:val="0010025B"/>
    <w:rsid w:val="00124AC3"/>
    <w:rsid w:val="00147F7A"/>
    <w:rsid w:val="0016318D"/>
    <w:rsid w:val="00194700"/>
    <w:rsid w:val="00200AC7"/>
    <w:rsid w:val="00217BD2"/>
    <w:rsid w:val="002A33C6"/>
    <w:rsid w:val="002A7AEE"/>
    <w:rsid w:val="002B51C4"/>
    <w:rsid w:val="002E51A3"/>
    <w:rsid w:val="002F333A"/>
    <w:rsid w:val="00347035"/>
    <w:rsid w:val="0039222C"/>
    <w:rsid w:val="003F17AE"/>
    <w:rsid w:val="0041426C"/>
    <w:rsid w:val="00421165"/>
    <w:rsid w:val="004F140F"/>
    <w:rsid w:val="00547BCC"/>
    <w:rsid w:val="00555F95"/>
    <w:rsid w:val="00571EB4"/>
    <w:rsid w:val="00591BD0"/>
    <w:rsid w:val="005A1922"/>
    <w:rsid w:val="005B3BF4"/>
    <w:rsid w:val="005D7FF6"/>
    <w:rsid w:val="00626CDC"/>
    <w:rsid w:val="0062757D"/>
    <w:rsid w:val="00747DD4"/>
    <w:rsid w:val="00766F98"/>
    <w:rsid w:val="00792AB4"/>
    <w:rsid w:val="007B1FFC"/>
    <w:rsid w:val="007D15A5"/>
    <w:rsid w:val="007D406D"/>
    <w:rsid w:val="008A44D9"/>
    <w:rsid w:val="008C1DA3"/>
    <w:rsid w:val="008D58CF"/>
    <w:rsid w:val="008E49EB"/>
    <w:rsid w:val="00951315"/>
    <w:rsid w:val="0097584A"/>
    <w:rsid w:val="00A5697D"/>
    <w:rsid w:val="00B743CF"/>
    <w:rsid w:val="00B9720F"/>
    <w:rsid w:val="00BB4AAC"/>
    <w:rsid w:val="00C40E86"/>
    <w:rsid w:val="00C42EBD"/>
    <w:rsid w:val="00C741E3"/>
    <w:rsid w:val="00CB0F6A"/>
    <w:rsid w:val="00CE516B"/>
    <w:rsid w:val="00D0245E"/>
    <w:rsid w:val="00D70372"/>
    <w:rsid w:val="00D720F8"/>
    <w:rsid w:val="00D975C3"/>
    <w:rsid w:val="00E272A0"/>
    <w:rsid w:val="00E65BBF"/>
    <w:rsid w:val="00E6638D"/>
    <w:rsid w:val="00E86753"/>
    <w:rsid w:val="00E90C7F"/>
    <w:rsid w:val="00ED2CE9"/>
    <w:rsid w:val="00F10848"/>
    <w:rsid w:val="00F50AA0"/>
    <w:rsid w:val="00F5382E"/>
    <w:rsid w:val="00F8643F"/>
    <w:rsid w:val="00FA4088"/>
    <w:rsid w:val="00FA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4A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</dc:creator>
  <cp:lastModifiedBy>kmcgann</cp:lastModifiedBy>
  <cp:revision>2</cp:revision>
  <dcterms:created xsi:type="dcterms:W3CDTF">2012-02-27T15:44:00Z</dcterms:created>
  <dcterms:modified xsi:type="dcterms:W3CDTF">2012-02-27T15:44:00Z</dcterms:modified>
</cp:coreProperties>
</file>